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0CC8F" w14:textId="6A4B5597" w:rsidR="00DD02F5" w:rsidRPr="00DA12F7" w:rsidRDefault="00DD02F5" w:rsidP="00DD02F5">
      <w:pPr>
        <w:tabs>
          <w:tab w:val="right" w:pos="9630"/>
        </w:tabs>
        <w:spacing w:after="0"/>
      </w:pPr>
      <w:r w:rsidRPr="00DA12F7">
        <w:rPr>
          <w:rFonts w:ascii="Arial" w:hAnsi="Arial" w:cs="Arial"/>
          <w:b/>
          <w:sz w:val="24"/>
        </w:rPr>
        <w:t xml:space="preserve">3GPP TSG RAN WG1 </w:t>
      </w:r>
      <w:r>
        <w:rPr>
          <w:rFonts w:ascii="Arial" w:hAnsi="Arial" w:cs="Arial"/>
          <w:b/>
          <w:sz w:val="24"/>
        </w:rPr>
        <w:t>NR Ad-Hoc</w:t>
      </w:r>
      <w:r w:rsidRPr="00DA12F7">
        <w:rPr>
          <w:rFonts w:ascii="Arial" w:hAnsi="Arial" w:cs="Arial"/>
          <w:b/>
          <w:sz w:val="24"/>
        </w:rPr>
        <w:t>#</w:t>
      </w:r>
      <w:r>
        <w:rPr>
          <w:rFonts w:ascii="Arial" w:hAnsi="Arial" w:cs="Arial"/>
          <w:b/>
          <w:sz w:val="24"/>
        </w:rPr>
        <w:t>2</w:t>
      </w:r>
      <w:r w:rsidRPr="00DA12F7">
        <w:rPr>
          <w:rFonts w:ascii="Arial" w:hAnsi="Arial" w:cs="Arial"/>
          <w:b/>
          <w:sz w:val="24"/>
        </w:rPr>
        <w:tab/>
        <w:t>R1-</w:t>
      </w:r>
      <w:r>
        <w:rPr>
          <w:rFonts w:ascii="Arial" w:hAnsi="Arial" w:cs="Arial"/>
          <w:b/>
          <w:sz w:val="24"/>
        </w:rPr>
        <w:t>1711182</w:t>
      </w:r>
    </w:p>
    <w:p w14:paraId="1F547CD1" w14:textId="77777777" w:rsidR="00DD02F5" w:rsidRPr="00DA12F7" w:rsidRDefault="00DD02F5" w:rsidP="00DD02F5">
      <w:pPr>
        <w:tabs>
          <w:tab w:val="right" w:pos="9630"/>
        </w:tabs>
        <w:spacing w:after="0"/>
        <w:rPr>
          <w:rFonts w:ascii="Arial" w:hAnsi="Arial" w:cs="Arial"/>
          <w:b/>
          <w:sz w:val="24"/>
          <w:szCs w:val="24"/>
        </w:rPr>
      </w:pPr>
      <w:r>
        <w:rPr>
          <w:rFonts w:ascii="Arial" w:hAnsi="Arial" w:cs="Arial"/>
          <w:b/>
          <w:sz w:val="24"/>
          <w:szCs w:val="24"/>
        </w:rPr>
        <w:t>June 27</w:t>
      </w:r>
      <w:r w:rsidRPr="007B3458">
        <w:rPr>
          <w:rFonts w:ascii="Arial" w:hAnsi="Arial" w:cs="Arial"/>
          <w:b/>
          <w:sz w:val="24"/>
          <w:szCs w:val="24"/>
          <w:vertAlign w:val="superscript"/>
        </w:rPr>
        <w:t>th</w:t>
      </w:r>
      <w:r>
        <w:rPr>
          <w:rFonts w:ascii="Arial" w:hAnsi="Arial" w:cs="Arial"/>
          <w:b/>
          <w:sz w:val="24"/>
          <w:szCs w:val="24"/>
        </w:rPr>
        <w:t xml:space="preserve"> – 30</w:t>
      </w:r>
      <w:r w:rsidRPr="007B3458">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7</w:t>
      </w:r>
    </w:p>
    <w:p w14:paraId="074522DD" w14:textId="77777777" w:rsidR="00DD02F5" w:rsidRPr="00DA12F7" w:rsidRDefault="00DD02F5" w:rsidP="00DD02F5">
      <w:pPr>
        <w:rPr>
          <w:rFonts w:ascii="Arial" w:hAnsi="Arial" w:cs="Arial"/>
          <w:b/>
          <w:sz w:val="24"/>
          <w:szCs w:val="24"/>
        </w:rPr>
      </w:pPr>
      <w:r>
        <w:rPr>
          <w:rFonts w:ascii="Arial" w:hAnsi="Arial" w:cs="Arial"/>
          <w:b/>
          <w:sz w:val="24"/>
          <w:szCs w:val="24"/>
        </w:rPr>
        <w:t>Qingdao, P.R. China</w:t>
      </w:r>
    </w:p>
    <w:p w14:paraId="43B7F87B" w14:textId="77777777" w:rsidR="0068226B" w:rsidRPr="00DD02F5" w:rsidRDefault="0068226B" w:rsidP="00480B03">
      <w:pPr>
        <w:pStyle w:val="Footer"/>
        <w:jc w:val="both"/>
        <w:rPr>
          <w:noProof w:val="0"/>
        </w:rPr>
      </w:pPr>
    </w:p>
    <w:p w14:paraId="43B7F87C" w14:textId="73CA2A8B"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DD02F5">
        <w:rPr>
          <w:rFonts w:ascii="Arial" w:hAnsi="Arial"/>
          <w:sz w:val="24"/>
        </w:rPr>
        <w:t>5</w:t>
      </w:r>
      <w:r w:rsidR="00672B89">
        <w:rPr>
          <w:rFonts w:ascii="Arial" w:hAnsi="Arial"/>
          <w:sz w:val="24"/>
        </w:rPr>
        <w:t>.1.3.1.</w:t>
      </w:r>
      <w:r w:rsidR="004A1656">
        <w:rPr>
          <w:rFonts w:ascii="Arial" w:hAnsi="Arial"/>
          <w:sz w:val="24"/>
        </w:rPr>
        <w:t>3</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00A981F8" w:rsidR="00C10599" w:rsidRPr="0007796D"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423F3">
        <w:rPr>
          <w:rFonts w:ascii="Arial" w:hAnsi="Arial"/>
          <w:sz w:val="24"/>
          <w:szCs w:val="24"/>
        </w:rPr>
        <w:t>Resource reuse for data in DL control region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0A3929EC" w14:textId="23EEE64D" w:rsidR="00BD670F" w:rsidRDefault="00BD670F" w:rsidP="00BD670F">
      <w:pPr>
        <w:jc w:val="both"/>
        <w:rPr>
          <w:szCs w:val="22"/>
        </w:rPr>
      </w:pPr>
      <w:r>
        <w:rPr>
          <w:szCs w:val="22"/>
        </w:rPr>
        <w:t xml:space="preserve">During RAN1 NR AdHoc, the following agreements were made related to NR DL control channel </w:t>
      </w:r>
      <w:r w:rsidR="002372EC">
        <w:rPr>
          <w:szCs w:val="22"/>
        </w:rPr>
        <w:t>resource reuse for data</w:t>
      </w:r>
      <w:r w:rsidR="008D2DE5">
        <w:rPr>
          <w:szCs w:val="22"/>
        </w:rPr>
        <w:t>. Since then, there has not been much discussion on this topic.</w:t>
      </w:r>
    </w:p>
    <w:p w14:paraId="63380CC3" w14:textId="77777777" w:rsidR="000039B1" w:rsidRPr="00D810AA" w:rsidRDefault="000039B1" w:rsidP="000039B1">
      <w:pPr>
        <w:rPr>
          <w:rFonts w:eastAsia="MS Mincho"/>
          <w:b/>
          <w:u w:val="single"/>
          <w:lang w:eastAsia="ja-JP"/>
        </w:rPr>
      </w:pPr>
      <w:r w:rsidRPr="00D810AA">
        <w:rPr>
          <w:rFonts w:eastAsia="MS Mincho" w:hint="eastAsia"/>
          <w:b/>
          <w:highlight w:val="green"/>
          <w:u w:val="single"/>
          <w:lang w:eastAsia="ja-JP"/>
        </w:rPr>
        <w:t>Agreements:</w:t>
      </w:r>
    </w:p>
    <w:p w14:paraId="784E7113" w14:textId="77777777" w:rsidR="000039B1" w:rsidRPr="00D810AA" w:rsidRDefault="000039B1" w:rsidP="004523DB">
      <w:pPr>
        <w:pStyle w:val="ListParagraph"/>
        <w:numPr>
          <w:ilvl w:val="0"/>
          <w:numId w:val="5"/>
        </w:numPr>
        <w:contextualSpacing/>
        <w:rPr>
          <w:rFonts w:eastAsia="MS Mincho"/>
          <w:szCs w:val="20"/>
          <w:lang w:eastAsia="ja-JP"/>
        </w:rPr>
      </w:pPr>
      <w:r w:rsidRPr="00D810AA">
        <w:rPr>
          <w:rFonts w:eastAsia="MS Mincho"/>
          <w:szCs w:val="20"/>
          <w:lang w:eastAsia="ja-JP"/>
        </w:rPr>
        <w:t>The staring position of downlink data in a slot can be explicitly and dynamically indicated to the UE.</w:t>
      </w:r>
    </w:p>
    <w:p w14:paraId="7454D6BE" w14:textId="77777777" w:rsidR="000039B1" w:rsidRPr="00D810AA" w:rsidRDefault="000039B1" w:rsidP="004523DB">
      <w:pPr>
        <w:pStyle w:val="ListParagraph"/>
        <w:numPr>
          <w:ilvl w:val="1"/>
          <w:numId w:val="5"/>
        </w:numPr>
        <w:contextualSpacing/>
        <w:rPr>
          <w:rFonts w:eastAsia="MS Mincho"/>
          <w:szCs w:val="20"/>
          <w:lang w:eastAsia="ja-JP"/>
        </w:rPr>
      </w:pPr>
      <w:r w:rsidRPr="00D810AA">
        <w:rPr>
          <w:rFonts w:eastAsia="MS Mincho"/>
          <w:szCs w:val="20"/>
          <w:lang w:eastAsia="ja-JP"/>
        </w:rPr>
        <w:t>FFS: signaled in the UE-specific DCI and/or a ‘group-common PDCCH’</w:t>
      </w:r>
    </w:p>
    <w:p w14:paraId="75BF2624" w14:textId="77777777" w:rsidR="000039B1" w:rsidRPr="00D810AA" w:rsidRDefault="000039B1" w:rsidP="004523DB">
      <w:pPr>
        <w:pStyle w:val="ListParagraph"/>
        <w:numPr>
          <w:ilvl w:val="1"/>
          <w:numId w:val="5"/>
        </w:numPr>
        <w:contextualSpacing/>
        <w:rPr>
          <w:rFonts w:eastAsia="MS Mincho"/>
          <w:szCs w:val="20"/>
          <w:lang w:eastAsia="ja-JP"/>
        </w:rPr>
      </w:pPr>
      <w:r w:rsidRPr="00D810AA">
        <w:rPr>
          <w:rFonts w:eastAsia="MS Mincho"/>
          <w:szCs w:val="20"/>
          <w:lang w:eastAsia="ja-JP"/>
        </w:rPr>
        <w:t>FFS: how and with what granularity the unused control resource set(s) can be used for data</w:t>
      </w:r>
    </w:p>
    <w:p w14:paraId="41271B4E" w14:textId="77777777" w:rsidR="000039B1" w:rsidRPr="007F7517" w:rsidRDefault="000039B1" w:rsidP="000039B1">
      <w:pPr>
        <w:rPr>
          <w:rFonts w:eastAsia="MS Mincho"/>
          <w:b/>
          <w:u w:val="single"/>
          <w:lang w:eastAsia="ja-JP"/>
        </w:rPr>
      </w:pPr>
      <w:r w:rsidRPr="00633195">
        <w:rPr>
          <w:rFonts w:eastAsia="MS Mincho" w:hint="eastAsia"/>
          <w:b/>
          <w:highlight w:val="green"/>
          <w:u w:val="single"/>
          <w:lang w:eastAsia="ja-JP"/>
        </w:rPr>
        <w:t>Agreements:</w:t>
      </w:r>
    </w:p>
    <w:p w14:paraId="144F4C4A" w14:textId="77777777" w:rsidR="000039B1" w:rsidRDefault="000039B1" w:rsidP="004523DB">
      <w:pPr>
        <w:pStyle w:val="ListParagraph"/>
        <w:numPr>
          <w:ilvl w:val="0"/>
          <w:numId w:val="6"/>
        </w:numPr>
        <w:contextualSpacing/>
        <w:rPr>
          <w:rFonts w:eastAsia="MS Mincho"/>
          <w:szCs w:val="20"/>
          <w:lang w:eastAsia="ja-JP"/>
        </w:rPr>
      </w:pPr>
      <w:r w:rsidRPr="00D4557D">
        <w:rPr>
          <w:rFonts w:eastAsia="MS Mincho"/>
          <w:szCs w:val="20"/>
          <w:lang w:eastAsia="ja-JP"/>
        </w:rPr>
        <w:t>The UE will have the possibility to determine whether some blind decodings can be skipped based on information on a ‘group common PDCCH’ (if present).</w:t>
      </w:r>
    </w:p>
    <w:p w14:paraId="412E7B44" w14:textId="77777777" w:rsidR="000039B1" w:rsidRPr="00D4557D" w:rsidRDefault="000039B1" w:rsidP="004523DB">
      <w:pPr>
        <w:pStyle w:val="ListParagraph"/>
        <w:numPr>
          <w:ilvl w:val="0"/>
          <w:numId w:val="6"/>
        </w:numPr>
        <w:contextualSpacing/>
        <w:rPr>
          <w:rFonts w:eastAsia="MS Mincho"/>
          <w:szCs w:val="20"/>
          <w:lang w:eastAsia="ja-JP"/>
        </w:rPr>
      </w:pPr>
      <w:r w:rsidRPr="00D4557D">
        <w:rPr>
          <w:rFonts w:eastAsia="MS Mincho"/>
          <w:szCs w:val="20"/>
          <w:lang w:eastAsia="ja-JP"/>
        </w:rPr>
        <w:t>FFS: if the data starting position is signaled on the group common PDCCH, the UE may exploit this information to skip some blind decodings</w:t>
      </w:r>
    </w:p>
    <w:p w14:paraId="2F3BA503" w14:textId="77777777" w:rsidR="000039B1" w:rsidRPr="00D4557D" w:rsidRDefault="000039B1" w:rsidP="004523DB">
      <w:pPr>
        <w:pStyle w:val="ListParagraph"/>
        <w:numPr>
          <w:ilvl w:val="0"/>
          <w:numId w:val="6"/>
        </w:numPr>
        <w:contextualSpacing/>
        <w:rPr>
          <w:rFonts w:eastAsia="MS Mincho"/>
          <w:szCs w:val="20"/>
          <w:lang w:eastAsia="ja-JP"/>
        </w:rPr>
      </w:pPr>
      <w:r w:rsidRPr="00D4557D">
        <w:rPr>
          <w:rFonts w:eastAsia="MS Mincho"/>
          <w:szCs w:val="20"/>
          <w:lang w:eastAsia="ja-JP"/>
        </w:rPr>
        <w:t>FFS: if the end of the control resource set is signaled on the ‘group common PDCCH’, the UE may exploit this information to skip some blind decodings</w:t>
      </w:r>
    </w:p>
    <w:p w14:paraId="1E363E9B" w14:textId="77777777" w:rsidR="000039B1" w:rsidRPr="00D4557D" w:rsidRDefault="000039B1" w:rsidP="004523DB">
      <w:pPr>
        <w:pStyle w:val="ListParagraph"/>
        <w:numPr>
          <w:ilvl w:val="0"/>
          <w:numId w:val="6"/>
        </w:numPr>
        <w:contextualSpacing/>
        <w:rPr>
          <w:rFonts w:eastAsia="MS Mincho"/>
          <w:szCs w:val="20"/>
          <w:lang w:eastAsia="ja-JP"/>
        </w:rPr>
      </w:pPr>
      <w:r w:rsidRPr="00D4557D">
        <w:rPr>
          <w:rFonts w:eastAsia="MS Mincho"/>
          <w:szCs w:val="20"/>
          <w:lang w:eastAsia="ja-JP"/>
        </w:rPr>
        <w:t>FFS: how to handle the case when there is no ‘group common PDCCH’ in a slot</w:t>
      </w:r>
    </w:p>
    <w:p w14:paraId="220C83F9" w14:textId="77777777" w:rsidR="000039B1" w:rsidRPr="00D4557D" w:rsidRDefault="000039B1" w:rsidP="004523DB">
      <w:pPr>
        <w:pStyle w:val="ListParagraph"/>
        <w:numPr>
          <w:ilvl w:val="0"/>
          <w:numId w:val="6"/>
        </w:numPr>
        <w:spacing w:after="120"/>
        <w:contextualSpacing/>
        <w:rPr>
          <w:rFonts w:eastAsia="MS Mincho"/>
          <w:szCs w:val="20"/>
          <w:lang w:eastAsia="ja-JP"/>
        </w:rPr>
      </w:pPr>
      <w:r w:rsidRPr="00D4557D">
        <w:rPr>
          <w:rFonts w:eastAsia="MS Mincho"/>
          <w:szCs w:val="20"/>
          <w:lang w:eastAsia="ja-JP"/>
        </w:rPr>
        <w:t>When monitoring for a PDCCH, the UE should be able to process a detected PDCCH irrespective of whether the ‘group common PDCCH’ is received or not</w:t>
      </w:r>
    </w:p>
    <w:p w14:paraId="2BB8475F" w14:textId="6628B5BB" w:rsidR="008A5AB1" w:rsidRDefault="00C225CC" w:rsidP="004503F9">
      <w:pPr>
        <w:jc w:val="both"/>
        <w:rPr>
          <w:szCs w:val="22"/>
        </w:rPr>
      </w:pPr>
      <w:r>
        <w:rPr>
          <w:szCs w:val="22"/>
        </w:rPr>
        <w:t xml:space="preserve">We discussed potential ways to reuse unused REs in DL control region for data in [1]. </w:t>
      </w:r>
      <w:r w:rsidR="002407E1">
        <w:rPr>
          <w:szCs w:val="22"/>
        </w:rPr>
        <w:t xml:space="preserve">In this contribution, </w:t>
      </w:r>
      <w:r>
        <w:rPr>
          <w:szCs w:val="22"/>
        </w:rPr>
        <w:t>we discuss more details on the reuse mechanism</w:t>
      </w:r>
      <w:r w:rsidR="002407E1">
        <w:rPr>
          <w:szCs w:val="22"/>
        </w:rPr>
        <w:t>.</w:t>
      </w:r>
    </w:p>
    <w:p w14:paraId="0B3BE98D" w14:textId="5BF26243" w:rsidR="0044173B" w:rsidRDefault="00F15478" w:rsidP="00A60478">
      <w:pPr>
        <w:pStyle w:val="Heading1"/>
      </w:pPr>
      <w:r>
        <w:t>Resource reuse</w:t>
      </w:r>
    </w:p>
    <w:p w14:paraId="106B3A7C" w14:textId="760D2C3A" w:rsidR="008B4714" w:rsidRDefault="008B4714" w:rsidP="002C76DE">
      <w:r>
        <w:t xml:space="preserve">For resource reuse of DL control region for data, it will be assumed that the channel will be based on DM-RS in data region and not </w:t>
      </w:r>
      <w:r w:rsidR="003B56D1">
        <w:t xml:space="preserve">the </w:t>
      </w:r>
      <w:r>
        <w:t>control RS in DL control region.</w:t>
      </w:r>
    </w:p>
    <w:p w14:paraId="7266A6FA" w14:textId="2E76CD9C" w:rsidR="0085236B" w:rsidRDefault="0085236B" w:rsidP="002C76DE">
      <w:r>
        <w:t>The following pattern of reused REs were discussed in [1]. G</w:t>
      </w:r>
      <w:r w:rsidR="00300088">
        <w:t>iven the difficulty of buffering the data if we have indepent allocation from PDSCH allocation, it is proposed to allow time-domain expansion w.r.t. the allocated PDSCH in the data region.</w:t>
      </w:r>
    </w:p>
    <w:p w14:paraId="1A75902E" w14:textId="2B28EE68" w:rsidR="008457A8" w:rsidRPr="008457A8" w:rsidRDefault="008457A8" w:rsidP="002C76DE">
      <w:pPr>
        <w:rPr>
          <w:u w:val="single"/>
        </w:rPr>
      </w:pPr>
      <w:r w:rsidRPr="008457A8">
        <w:rPr>
          <w:u w:val="single"/>
        </w:rPr>
        <w:t>Shape of reused REs</w:t>
      </w:r>
    </w:p>
    <w:p w14:paraId="33878CE1" w14:textId="77777777" w:rsidR="00F0674D" w:rsidRPr="008457A8" w:rsidRDefault="00C71BCF" w:rsidP="008457A8">
      <w:pPr>
        <w:numPr>
          <w:ilvl w:val="0"/>
          <w:numId w:val="9"/>
        </w:numPr>
      </w:pPr>
      <w:r w:rsidRPr="008457A8">
        <w:t>Time-domain only expansion w.r.t. the allocated PDSCH</w:t>
      </w:r>
    </w:p>
    <w:p w14:paraId="72347358" w14:textId="77777777" w:rsidR="00F0674D" w:rsidRPr="008457A8" w:rsidRDefault="00C71BCF" w:rsidP="008457A8">
      <w:pPr>
        <w:numPr>
          <w:ilvl w:val="2"/>
          <w:numId w:val="9"/>
        </w:numPr>
      </w:pPr>
      <w:r w:rsidRPr="008457A8">
        <w:t>UE just needs to know the starting symbol of PDSCH</w:t>
      </w:r>
    </w:p>
    <w:p w14:paraId="6139FCDD" w14:textId="77777777" w:rsidR="00F0674D" w:rsidRPr="008457A8" w:rsidRDefault="00C71BCF" w:rsidP="008457A8">
      <w:pPr>
        <w:numPr>
          <w:ilvl w:val="0"/>
          <w:numId w:val="10"/>
        </w:numPr>
      </w:pPr>
      <w:r w:rsidRPr="008457A8">
        <w:t>Time-domain/frequency-domain expansion independent of the allocated PDSCH in data region</w:t>
      </w:r>
    </w:p>
    <w:p w14:paraId="08A69AE8" w14:textId="77777777" w:rsidR="00F0674D" w:rsidRPr="008457A8" w:rsidRDefault="00C71BCF" w:rsidP="008457A8">
      <w:pPr>
        <w:numPr>
          <w:ilvl w:val="2"/>
          <w:numId w:val="10"/>
        </w:numPr>
      </w:pPr>
      <w:r w:rsidRPr="008457A8">
        <w:t>This implies independent resource allocation for DL control region from the data region</w:t>
      </w:r>
    </w:p>
    <w:p w14:paraId="7A9169FB" w14:textId="63FA440D" w:rsidR="00F0674D" w:rsidRPr="008457A8" w:rsidRDefault="00C71BCF" w:rsidP="008457A8">
      <w:pPr>
        <w:numPr>
          <w:ilvl w:val="2"/>
          <w:numId w:val="10"/>
        </w:numPr>
      </w:pPr>
      <w:r w:rsidRPr="008457A8">
        <w:t>UE needs to know the RE</w:t>
      </w:r>
      <w:r w:rsidR="008457A8">
        <w:t xml:space="preserve"> allocation</w:t>
      </w:r>
      <w:r w:rsidRPr="008457A8">
        <w:t xml:space="preserve"> in time and frequency domain in DL control region</w:t>
      </w:r>
    </w:p>
    <w:p w14:paraId="379BA8C3" w14:textId="77777777" w:rsidR="00F0674D" w:rsidRPr="008457A8" w:rsidRDefault="00C71BCF" w:rsidP="008457A8">
      <w:pPr>
        <w:numPr>
          <w:ilvl w:val="3"/>
          <w:numId w:val="10"/>
        </w:numPr>
      </w:pPr>
      <w:r w:rsidRPr="008457A8">
        <w:t>Time domain</w:t>
      </w:r>
    </w:p>
    <w:p w14:paraId="69A60DF0" w14:textId="77777777" w:rsidR="00F0674D" w:rsidRPr="008457A8" w:rsidRDefault="00C71BCF" w:rsidP="008457A8">
      <w:pPr>
        <w:numPr>
          <w:ilvl w:val="4"/>
          <w:numId w:val="10"/>
        </w:numPr>
      </w:pPr>
      <w:r w:rsidRPr="008457A8">
        <w:lastRenderedPageBreak/>
        <w:t>Starting symbol only or starting/ending symbol</w:t>
      </w:r>
    </w:p>
    <w:p w14:paraId="2271ACDF" w14:textId="77777777" w:rsidR="00F0674D" w:rsidRPr="008457A8" w:rsidRDefault="00C71BCF" w:rsidP="008457A8">
      <w:pPr>
        <w:numPr>
          <w:ilvl w:val="3"/>
          <w:numId w:val="10"/>
        </w:numPr>
      </w:pPr>
      <w:r w:rsidRPr="008457A8">
        <w:t>Frequency domain</w:t>
      </w:r>
    </w:p>
    <w:p w14:paraId="7E01A413" w14:textId="77382076" w:rsidR="00F0674D" w:rsidRPr="008457A8" w:rsidRDefault="00C71BCF" w:rsidP="008457A8">
      <w:pPr>
        <w:numPr>
          <w:ilvl w:val="4"/>
          <w:numId w:val="10"/>
        </w:numPr>
      </w:pPr>
      <w:r w:rsidRPr="008457A8">
        <w:t>Starting/ending frequencies</w:t>
      </w:r>
      <w:r w:rsidR="008457A8">
        <w:t xml:space="preserve"> (if localized)</w:t>
      </w:r>
      <w:r w:rsidRPr="008457A8">
        <w:t xml:space="preserve"> or</w:t>
      </w:r>
      <w:r w:rsidRPr="008457A8">
        <w:rPr>
          <w:b/>
          <w:bCs/>
          <w:i/>
          <w:iCs/>
        </w:rPr>
        <w:t xml:space="preserve"> </w:t>
      </w:r>
      <w:r w:rsidRPr="008457A8">
        <w:t xml:space="preserve"> reuse</w:t>
      </w:r>
      <w:r w:rsidR="008457A8">
        <w:t>d</w:t>
      </w:r>
      <w:r w:rsidRPr="008457A8">
        <w:t xml:space="preserve"> CCEs (can be localized/distributed)</w:t>
      </w:r>
    </w:p>
    <w:p w14:paraId="2F629205" w14:textId="198342CF" w:rsidR="0085236B" w:rsidRDefault="00300088" w:rsidP="002C76DE">
      <w:r w:rsidRPr="00300088">
        <w:rPr>
          <w:b/>
          <w:u w:val="single"/>
        </w:rPr>
        <w:t>Proposal 1:</w:t>
      </w:r>
      <w:r>
        <w:t xml:space="preserve"> For resource reuse, time-domain expansion is only considered with respect to the allocated PDSCH in the data region</w:t>
      </w:r>
      <w:r w:rsidR="008E5069">
        <w:t>.</w:t>
      </w:r>
    </w:p>
    <w:p w14:paraId="08DF012A" w14:textId="4CE8EE03" w:rsidR="00FE7963" w:rsidRDefault="00F15478" w:rsidP="00F270EE">
      <w:r w:rsidRPr="00F15478">
        <w:t xml:space="preserve">As discussed in [1], there will be a tradeoff between the overhead and reuse efficiency depending on the level of reuse. </w:t>
      </w:r>
      <w:r w:rsidR="00075D2B">
        <w:t>M</w:t>
      </w:r>
      <w:r w:rsidR="003B56D1">
        <w:t>ultiple ways of reuse</w:t>
      </w:r>
      <w:r w:rsidR="00E9465F">
        <w:t xml:space="preserve"> </w:t>
      </w:r>
      <w:r w:rsidR="00075D2B">
        <w:t>were discussed in [1], i.e., CORESET (or search space) level</w:t>
      </w:r>
      <w:r w:rsidR="00FE7963">
        <w:t>, OFDM symbol level,</w:t>
      </w:r>
      <w:r w:rsidR="00075D2B">
        <w:t xml:space="preserve"> and/or </w:t>
      </w:r>
      <w:r w:rsidR="00FE7963">
        <w:t xml:space="preserve">CCE </w:t>
      </w:r>
      <w:r w:rsidR="00075D2B">
        <w:t>level.</w:t>
      </w:r>
      <w:r w:rsidR="00DA31F1">
        <w:t xml:space="preserve"> Given the trade-off, we can consider flexible way of resource reuse depending on the deployment</w:t>
      </w:r>
      <w:r w:rsidR="00A77715">
        <w:t>, resource availability</w:t>
      </w:r>
      <w:r w:rsidR="00DA31F1">
        <w:t xml:space="preserve"> and scheduler policy.</w:t>
      </w:r>
      <w:r w:rsidR="00A77715">
        <w:t xml:space="preserve"> In other words, NW can configure the level of reuse (</w:t>
      </w:r>
      <w:r w:rsidR="00FE7963">
        <w:t>CORESET level, OFDM symbol level, or CCE level</w:t>
      </w:r>
      <w:r w:rsidR="00A77715">
        <w:t xml:space="preserve">) for the expanded region. </w:t>
      </w:r>
    </w:p>
    <w:p w14:paraId="4826D358" w14:textId="55AF2D14" w:rsidR="00FE7963" w:rsidRDefault="00FE7963" w:rsidP="00F270EE">
      <w:r>
        <w:t>For CORESET</w:t>
      </w:r>
      <w:r w:rsidR="00B67800">
        <w:t xml:space="preserve"> level reuse, NW needs to </w:t>
      </w:r>
      <w:r w:rsidR="003E6FD7">
        <w:t>indicate</w:t>
      </w:r>
      <w:r w:rsidR="00B67800">
        <w:t xml:space="preserve"> the exist</w:t>
      </w:r>
      <w:r w:rsidR="003E6FD7">
        <w:t>e</w:t>
      </w:r>
      <w:r w:rsidR="00B67800">
        <w:t xml:space="preserve">nce and the size for each CORESET used, though the UE is not monitoring all of them. Then a bitmap can be use to indicate if any of the CORESETs are empty, so the resource can be reused. </w:t>
      </w:r>
    </w:p>
    <w:p w14:paraId="47AE526D" w14:textId="4234A4FB" w:rsidR="00B67800" w:rsidRDefault="00B67800" w:rsidP="00F270EE">
      <w:r>
        <w:t>When a CORESET has more than one OFDM symbol, OFDM symbol level reuse can be further considered. In this case, NW will indicate the OFDM symbols available within a CORESET for reuse, when the OFDM symbol is not used for PDCCH transmission. This level reuse can achieve sub-CORESET level reuse with minimum overhead, especially when the indicator can be combined with the PDSCH starting symbol indicator. However, this reuse is only possible when the CORESET is using frequency first CCE to REG mapping.</w:t>
      </w:r>
      <w:r w:rsidR="006C40F3">
        <w:t xml:space="preserve"> Under time first CCE to REG mapping, all OFDM symbols are used at the same time, and the reuse cannot be achieved in OFDM symbol level.</w:t>
      </w:r>
    </w:p>
    <w:p w14:paraId="6DFA86C0" w14:textId="70A397C2" w:rsidR="00B67800" w:rsidRDefault="00B67800" w:rsidP="00F270EE">
      <w:r>
        <w:t>When more overhead can be afforded, NW can configure CCE or group of CCE level reuse within a CORESET. In this case, NW will configure the UE about the size of each CCE groups and indicates the availability of the CCE groups using a bitmap. This approach has the highest efficiency of reuse, but needs relatively large overhead.</w:t>
      </w:r>
    </w:p>
    <w:p w14:paraId="4F01EF2D" w14:textId="5650266C" w:rsidR="00B67800" w:rsidRDefault="00B67800" w:rsidP="00F270EE">
      <w:r>
        <w:t xml:space="preserve">With these reuse mechanisms in mind, the NW can tradeoff overhead and reuse efficiency for different use cases. For example, for a wide band system with many CORESETs configured, it might be enough to stay with CORESET level reuse to keep the overhead low. For a narrow band system with only one CORESET, the NW may want to use CCE group level reuse to increase the reuse efficiency. </w:t>
      </w:r>
    </w:p>
    <w:p w14:paraId="5E8F06FD" w14:textId="36E425FC" w:rsidR="00075D2B" w:rsidRDefault="00A77715" w:rsidP="00F270EE">
      <w:r>
        <w:t xml:space="preserve">Naturally UE can additionaly assume the </w:t>
      </w:r>
      <w:r w:rsidR="00FE7963">
        <w:t xml:space="preserve">CCEs </w:t>
      </w:r>
      <w:r>
        <w:t xml:space="preserve">for the </w:t>
      </w:r>
      <w:r w:rsidR="00FE7963">
        <w:t>current DCI carrying the DL grant</w:t>
      </w:r>
      <w:r>
        <w:t>are excluded for reuse.</w:t>
      </w:r>
    </w:p>
    <w:p w14:paraId="68E4EB68" w14:textId="69920132" w:rsidR="008E5069" w:rsidRDefault="008E5069" w:rsidP="008E5069">
      <w:r>
        <w:rPr>
          <w:b/>
          <w:u w:val="single"/>
        </w:rPr>
        <w:t>Proposal 2</w:t>
      </w:r>
      <w:r w:rsidRPr="00300088">
        <w:rPr>
          <w:b/>
          <w:u w:val="single"/>
        </w:rPr>
        <w:t>:</w:t>
      </w:r>
      <w:r>
        <w:t xml:space="preserve"> NW configures the level of reuse (CCE level,CCE</w:t>
      </w:r>
      <w:r w:rsidR="006C40F3">
        <w:t xml:space="preserve"> group</w:t>
      </w:r>
      <w:r>
        <w:t xml:space="preserve"> level, </w:t>
      </w:r>
      <w:r w:rsidR="006C40F3">
        <w:t xml:space="preserve">OFDM symbol level, </w:t>
      </w:r>
      <w:r>
        <w:t>search space level or CORESET level) and provide the bitmap for reuse as the part of the DCI with the DL grant.</w:t>
      </w:r>
    </w:p>
    <w:p w14:paraId="3B7E6018" w14:textId="689522D8" w:rsidR="008E5069" w:rsidRDefault="008E5069" w:rsidP="008E5069">
      <w:r>
        <w:rPr>
          <w:b/>
          <w:u w:val="single"/>
        </w:rPr>
        <w:t>Proposal 3</w:t>
      </w:r>
      <w:r w:rsidRPr="00300088">
        <w:rPr>
          <w:b/>
          <w:u w:val="single"/>
        </w:rPr>
        <w:t>:</w:t>
      </w:r>
      <w:r>
        <w:t xml:space="preserve"> UE assumes that the </w:t>
      </w:r>
      <w:r w:rsidR="00773620">
        <w:t xml:space="preserve">CCEs </w:t>
      </w:r>
      <w:r>
        <w:t xml:space="preserve">for </w:t>
      </w:r>
      <w:r w:rsidR="00773620">
        <w:t>the current DCI carrying the DL grant</w:t>
      </w:r>
      <w:r w:rsidR="00773620" w:rsidDel="00773620">
        <w:t xml:space="preserve"> </w:t>
      </w:r>
      <w:r>
        <w:t>are excluded from the reuse.</w:t>
      </w:r>
    </w:p>
    <w:p w14:paraId="56D28D4B" w14:textId="26018A49" w:rsidR="00067CA8" w:rsidRPr="00226FE2" w:rsidRDefault="004503F9" w:rsidP="00067CA8">
      <w:pPr>
        <w:pStyle w:val="Heading1"/>
        <w:rPr>
          <w:lang w:eastAsia="zh-CN"/>
        </w:rPr>
      </w:pPr>
      <w:r>
        <w:rPr>
          <w:lang w:eastAsia="zh-CN"/>
        </w:rPr>
        <w:t>Conclusions</w:t>
      </w:r>
    </w:p>
    <w:p w14:paraId="013A99D1" w14:textId="6E462CBD" w:rsidR="008E5069" w:rsidRDefault="008E5069" w:rsidP="008E5069">
      <w:pPr>
        <w:jc w:val="both"/>
        <w:rPr>
          <w:szCs w:val="22"/>
        </w:rPr>
      </w:pPr>
      <w:r>
        <w:rPr>
          <w:szCs w:val="22"/>
        </w:rPr>
        <w:t>In this contribution, we have discussed details on the reuse mechanism and have made the following proposals:</w:t>
      </w:r>
    </w:p>
    <w:p w14:paraId="2C63F557" w14:textId="77777777" w:rsidR="008E5069" w:rsidRDefault="008E5069" w:rsidP="008E5069">
      <w:r w:rsidRPr="00300088">
        <w:rPr>
          <w:b/>
          <w:u w:val="single"/>
        </w:rPr>
        <w:t>Proposal 1:</w:t>
      </w:r>
      <w:r>
        <w:t xml:space="preserve"> For resource reuse, time-domain expansion is only considered with respect to the allocated PDSCH in the data region.</w:t>
      </w:r>
    </w:p>
    <w:p w14:paraId="55596EA6" w14:textId="77777777" w:rsidR="006C40F3" w:rsidRDefault="006C40F3" w:rsidP="006C40F3">
      <w:r>
        <w:rPr>
          <w:b/>
          <w:u w:val="single"/>
        </w:rPr>
        <w:t>Proposal 2</w:t>
      </w:r>
      <w:r w:rsidRPr="00300088">
        <w:rPr>
          <w:b/>
          <w:u w:val="single"/>
        </w:rPr>
        <w:t>:</w:t>
      </w:r>
      <w:r>
        <w:t xml:space="preserve"> NW configures the level of reuse (CCE level,CCE group level, OFDM symbol level, search space level or CORESET level) and provide the bitmap for reuse as the part of the DCI with the DL grant.</w:t>
      </w:r>
    </w:p>
    <w:p w14:paraId="11C7DB6C" w14:textId="65F1C4BA" w:rsidR="00773620" w:rsidRDefault="006C40F3" w:rsidP="00773620">
      <w:r w:rsidDel="006C40F3">
        <w:rPr>
          <w:b/>
          <w:u w:val="single"/>
        </w:rPr>
        <w:t xml:space="preserve"> </w:t>
      </w:r>
      <w:r w:rsidR="00773620">
        <w:rPr>
          <w:b/>
          <w:u w:val="single"/>
        </w:rPr>
        <w:t>Proposal 3</w:t>
      </w:r>
      <w:r w:rsidR="00773620" w:rsidRPr="00300088">
        <w:rPr>
          <w:b/>
          <w:u w:val="single"/>
        </w:rPr>
        <w:t>:</w:t>
      </w:r>
      <w:r w:rsidR="00773620">
        <w:t xml:space="preserve"> UE assumes that the CCEs for the current DCI carrying the DL grant</w:t>
      </w:r>
      <w:r w:rsidR="00773620" w:rsidDel="00773620">
        <w:t xml:space="preserve"> </w:t>
      </w:r>
      <w:r w:rsidR="00773620">
        <w:t>are excluded from the reuse.</w:t>
      </w:r>
    </w:p>
    <w:p w14:paraId="349B5979" w14:textId="7580948B" w:rsidR="008D2DE5" w:rsidRPr="00226FE2" w:rsidRDefault="008D2DE5" w:rsidP="008D2DE5">
      <w:pPr>
        <w:pStyle w:val="Heading1"/>
        <w:rPr>
          <w:lang w:eastAsia="zh-CN"/>
        </w:rPr>
      </w:pPr>
      <w:bookmarkStart w:id="2" w:name="_GoBack"/>
      <w:bookmarkEnd w:id="2"/>
      <w:r>
        <w:rPr>
          <w:lang w:eastAsia="zh-CN"/>
        </w:rPr>
        <w:t>References</w:t>
      </w:r>
    </w:p>
    <w:p w14:paraId="46C43DFD" w14:textId="539853BA" w:rsidR="008D2DE5" w:rsidRDefault="008D2DE5" w:rsidP="008D2DE5">
      <w:pPr>
        <w:jc w:val="both"/>
        <w:rPr>
          <w:szCs w:val="22"/>
        </w:rPr>
      </w:pPr>
      <w:r>
        <w:rPr>
          <w:szCs w:val="22"/>
        </w:rPr>
        <w:t>[1] R1-1708612, “Resource reuse for data in DL control region”, Qualcomm Incorporated</w:t>
      </w:r>
    </w:p>
    <w:p w14:paraId="77BEC18E" w14:textId="6852FB1C" w:rsidR="009A402E" w:rsidRDefault="009A402E" w:rsidP="009A402E">
      <w:pPr>
        <w:jc w:val="both"/>
        <w:rPr>
          <w:szCs w:val="22"/>
        </w:rPr>
      </w:pPr>
    </w:p>
    <w:sectPr w:rsidR="009A402E" w:rsidSect="00DD02F5">
      <w:headerReference w:type="even" r:id="rId12"/>
      <w:footerReference w:type="even" r:id="rId13"/>
      <w:footerReference w:type="default" r:id="rId14"/>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6CA795" w14:textId="77777777" w:rsidR="00AE7CF8" w:rsidRDefault="00AE7CF8">
      <w:r>
        <w:separator/>
      </w:r>
    </w:p>
  </w:endnote>
  <w:endnote w:type="continuationSeparator" w:id="0">
    <w:p w14:paraId="14C9673E" w14:textId="77777777" w:rsidR="00AE7CF8" w:rsidRDefault="00AE7CF8">
      <w:r>
        <w:continuationSeparator/>
      </w:r>
    </w:p>
  </w:endnote>
  <w:endnote w:type="continuationNotice" w:id="1">
    <w:p w14:paraId="106F87BF" w14:textId="77777777" w:rsidR="00AE7CF8" w:rsidRDefault="00AE7C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alcomm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1B16B0" w:rsidRDefault="001B16B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1B16B0" w:rsidRDefault="001B16B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77F23819" w:rsidR="001B16B0" w:rsidRDefault="001B16B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A23B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A23BD">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8D542" w14:textId="77777777" w:rsidR="00AE7CF8" w:rsidRDefault="00AE7CF8">
      <w:r>
        <w:separator/>
      </w:r>
    </w:p>
  </w:footnote>
  <w:footnote w:type="continuationSeparator" w:id="0">
    <w:p w14:paraId="2282A3FB" w14:textId="77777777" w:rsidR="00AE7CF8" w:rsidRDefault="00AE7CF8">
      <w:r>
        <w:continuationSeparator/>
      </w:r>
    </w:p>
  </w:footnote>
  <w:footnote w:type="continuationNotice" w:id="1">
    <w:p w14:paraId="21663452" w14:textId="77777777" w:rsidR="00AE7CF8" w:rsidRDefault="00AE7C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1B16B0" w:rsidRDefault="001B16B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6.5pt;height:16.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64A5685"/>
    <w:multiLevelType w:val="hybridMultilevel"/>
    <w:tmpl w:val="D044440C"/>
    <w:lvl w:ilvl="0" w:tplc="0AF6F28C">
      <w:start w:val="1"/>
      <w:numFmt w:val="bullet"/>
      <w:lvlText w:val=""/>
      <w:lvlPicBulletId w:val="0"/>
      <w:lvlJc w:val="left"/>
      <w:pPr>
        <w:tabs>
          <w:tab w:val="num" w:pos="720"/>
        </w:tabs>
        <w:ind w:left="720" w:hanging="360"/>
      </w:pPr>
      <w:rPr>
        <w:rFonts w:ascii="Symbol" w:hAnsi="Symbol" w:hint="default"/>
      </w:rPr>
    </w:lvl>
    <w:lvl w:ilvl="1" w:tplc="8DEAC8A4" w:tentative="1">
      <w:start w:val="1"/>
      <w:numFmt w:val="bullet"/>
      <w:lvlText w:val=""/>
      <w:lvlPicBulletId w:val="0"/>
      <w:lvlJc w:val="left"/>
      <w:pPr>
        <w:tabs>
          <w:tab w:val="num" w:pos="1440"/>
        </w:tabs>
        <w:ind w:left="1440" w:hanging="360"/>
      </w:pPr>
      <w:rPr>
        <w:rFonts w:ascii="Symbol" w:hAnsi="Symbol" w:hint="default"/>
      </w:rPr>
    </w:lvl>
    <w:lvl w:ilvl="2" w:tplc="C31463EA">
      <w:start w:val="33"/>
      <w:numFmt w:val="bullet"/>
      <w:lvlText w:val="−"/>
      <w:lvlJc w:val="left"/>
      <w:pPr>
        <w:tabs>
          <w:tab w:val="num" w:pos="2160"/>
        </w:tabs>
        <w:ind w:left="2160" w:hanging="360"/>
      </w:pPr>
      <w:rPr>
        <w:rFonts w:ascii="Calibre Regular" w:hAnsi="Calibre Regular" w:hint="default"/>
      </w:rPr>
    </w:lvl>
    <w:lvl w:ilvl="3" w:tplc="6DEA429A" w:tentative="1">
      <w:start w:val="1"/>
      <w:numFmt w:val="bullet"/>
      <w:lvlText w:val=""/>
      <w:lvlPicBulletId w:val="0"/>
      <w:lvlJc w:val="left"/>
      <w:pPr>
        <w:tabs>
          <w:tab w:val="num" w:pos="2880"/>
        </w:tabs>
        <w:ind w:left="2880" w:hanging="360"/>
      </w:pPr>
      <w:rPr>
        <w:rFonts w:ascii="Symbol" w:hAnsi="Symbol" w:hint="default"/>
      </w:rPr>
    </w:lvl>
    <w:lvl w:ilvl="4" w:tplc="899CC916" w:tentative="1">
      <w:start w:val="1"/>
      <w:numFmt w:val="bullet"/>
      <w:lvlText w:val=""/>
      <w:lvlPicBulletId w:val="0"/>
      <w:lvlJc w:val="left"/>
      <w:pPr>
        <w:tabs>
          <w:tab w:val="num" w:pos="3600"/>
        </w:tabs>
        <w:ind w:left="3600" w:hanging="360"/>
      </w:pPr>
      <w:rPr>
        <w:rFonts w:ascii="Symbol" w:hAnsi="Symbol" w:hint="default"/>
      </w:rPr>
    </w:lvl>
    <w:lvl w:ilvl="5" w:tplc="FB6C1094" w:tentative="1">
      <w:start w:val="1"/>
      <w:numFmt w:val="bullet"/>
      <w:lvlText w:val=""/>
      <w:lvlPicBulletId w:val="0"/>
      <w:lvlJc w:val="left"/>
      <w:pPr>
        <w:tabs>
          <w:tab w:val="num" w:pos="4320"/>
        </w:tabs>
        <w:ind w:left="4320" w:hanging="360"/>
      </w:pPr>
      <w:rPr>
        <w:rFonts w:ascii="Symbol" w:hAnsi="Symbol" w:hint="default"/>
      </w:rPr>
    </w:lvl>
    <w:lvl w:ilvl="6" w:tplc="3D4847C6" w:tentative="1">
      <w:start w:val="1"/>
      <w:numFmt w:val="bullet"/>
      <w:lvlText w:val=""/>
      <w:lvlPicBulletId w:val="0"/>
      <w:lvlJc w:val="left"/>
      <w:pPr>
        <w:tabs>
          <w:tab w:val="num" w:pos="5040"/>
        </w:tabs>
        <w:ind w:left="5040" w:hanging="360"/>
      </w:pPr>
      <w:rPr>
        <w:rFonts w:ascii="Symbol" w:hAnsi="Symbol" w:hint="default"/>
      </w:rPr>
    </w:lvl>
    <w:lvl w:ilvl="7" w:tplc="0192A20A" w:tentative="1">
      <w:start w:val="1"/>
      <w:numFmt w:val="bullet"/>
      <w:lvlText w:val=""/>
      <w:lvlPicBulletId w:val="0"/>
      <w:lvlJc w:val="left"/>
      <w:pPr>
        <w:tabs>
          <w:tab w:val="num" w:pos="5760"/>
        </w:tabs>
        <w:ind w:left="5760" w:hanging="360"/>
      </w:pPr>
      <w:rPr>
        <w:rFonts w:ascii="Symbol" w:hAnsi="Symbol" w:hint="default"/>
      </w:rPr>
    </w:lvl>
    <w:lvl w:ilvl="8" w:tplc="F624694E"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18065C68"/>
    <w:multiLevelType w:val="hybridMultilevel"/>
    <w:tmpl w:val="26AAC43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7800227A">
      <w:start w:val="1"/>
      <w:numFmt w:val="bullet"/>
      <w:lvlText w:val=""/>
      <w:lvlJc w:val="left"/>
      <w:pPr>
        <w:ind w:left="2160" w:hanging="180"/>
      </w:pPr>
      <w:rPr>
        <w:rFonts w:ascii="Symbol" w:hAnsi="Symbol"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197378"/>
    <w:multiLevelType w:val="hybridMultilevel"/>
    <w:tmpl w:val="1C381BA0"/>
    <w:lvl w:ilvl="0" w:tplc="1DCA230C">
      <w:start w:val="1"/>
      <w:numFmt w:val="bullet"/>
      <w:lvlText w:val=""/>
      <w:lvlPicBulletId w:val="0"/>
      <w:lvlJc w:val="left"/>
      <w:pPr>
        <w:tabs>
          <w:tab w:val="num" w:pos="720"/>
        </w:tabs>
        <w:ind w:left="720" w:hanging="360"/>
      </w:pPr>
      <w:rPr>
        <w:rFonts w:ascii="Symbol" w:hAnsi="Symbol" w:hint="default"/>
      </w:rPr>
    </w:lvl>
    <w:lvl w:ilvl="1" w:tplc="DC7C28C8">
      <w:start w:val="33"/>
      <w:numFmt w:val="bullet"/>
      <w:lvlText w:val="−"/>
      <w:lvlJc w:val="left"/>
      <w:pPr>
        <w:tabs>
          <w:tab w:val="num" w:pos="1440"/>
        </w:tabs>
        <w:ind w:left="1440" w:hanging="360"/>
      </w:pPr>
      <w:rPr>
        <w:rFonts w:ascii="Calibre Regular" w:hAnsi="Calibre Regular" w:hint="default"/>
      </w:rPr>
    </w:lvl>
    <w:lvl w:ilvl="2" w:tplc="F3B61AAE">
      <w:start w:val="33"/>
      <w:numFmt w:val="bullet"/>
      <w:lvlText w:val="−"/>
      <w:lvlJc w:val="left"/>
      <w:pPr>
        <w:tabs>
          <w:tab w:val="num" w:pos="2160"/>
        </w:tabs>
        <w:ind w:left="2160" w:hanging="360"/>
      </w:pPr>
      <w:rPr>
        <w:rFonts w:ascii="Calibre Regular" w:hAnsi="Calibre Regular" w:hint="default"/>
      </w:rPr>
    </w:lvl>
    <w:lvl w:ilvl="3" w:tplc="DC4A8416">
      <w:start w:val="33"/>
      <w:numFmt w:val="bullet"/>
      <w:lvlText w:val="−"/>
      <w:lvlJc w:val="left"/>
      <w:pPr>
        <w:tabs>
          <w:tab w:val="num" w:pos="2880"/>
        </w:tabs>
        <w:ind w:left="2880" w:hanging="360"/>
      </w:pPr>
      <w:rPr>
        <w:rFonts w:ascii="Calibre Regular" w:hAnsi="Calibre Regular" w:hint="default"/>
      </w:rPr>
    </w:lvl>
    <w:lvl w:ilvl="4" w:tplc="C2967934" w:tentative="1">
      <w:start w:val="1"/>
      <w:numFmt w:val="bullet"/>
      <w:lvlText w:val=""/>
      <w:lvlPicBulletId w:val="0"/>
      <w:lvlJc w:val="left"/>
      <w:pPr>
        <w:tabs>
          <w:tab w:val="num" w:pos="3600"/>
        </w:tabs>
        <w:ind w:left="3600" w:hanging="360"/>
      </w:pPr>
      <w:rPr>
        <w:rFonts w:ascii="Symbol" w:hAnsi="Symbol" w:hint="default"/>
      </w:rPr>
    </w:lvl>
    <w:lvl w:ilvl="5" w:tplc="25E4E0EC" w:tentative="1">
      <w:start w:val="1"/>
      <w:numFmt w:val="bullet"/>
      <w:lvlText w:val=""/>
      <w:lvlPicBulletId w:val="0"/>
      <w:lvlJc w:val="left"/>
      <w:pPr>
        <w:tabs>
          <w:tab w:val="num" w:pos="4320"/>
        </w:tabs>
        <w:ind w:left="4320" w:hanging="360"/>
      </w:pPr>
      <w:rPr>
        <w:rFonts w:ascii="Symbol" w:hAnsi="Symbol" w:hint="default"/>
      </w:rPr>
    </w:lvl>
    <w:lvl w:ilvl="6" w:tplc="3C948958" w:tentative="1">
      <w:start w:val="1"/>
      <w:numFmt w:val="bullet"/>
      <w:lvlText w:val=""/>
      <w:lvlPicBulletId w:val="0"/>
      <w:lvlJc w:val="left"/>
      <w:pPr>
        <w:tabs>
          <w:tab w:val="num" w:pos="5040"/>
        </w:tabs>
        <w:ind w:left="5040" w:hanging="360"/>
      </w:pPr>
      <w:rPr>
        <w:rFonts w:ascii="Symbol" w:hAnsi="Symbol" w:hint="default"/>
      </w:rPr>
    </w:lvl>
    <w:lvl w:ilvl="7" w:tplc="933C09C6" w:tentative="1">
      <w:start w:val="1"/>
      <w:numFmt w:val="bullet"/>
      <w:lvlText w:val=""/>
      <w:lvlPicBulletId w:val="0"/>
      <w:lvlJc w:val="left"/>
      <w:pPr>
        <w:tabs>
          <w:tab w:val="num" w:pos="5760"/>
        </w:tabs>
        <w:ind w:left="5760" w:hanging="360"/>
      </w:pPr>
      <w:rPr>
        <w:rFonts w:ascii="Symbol" w:hAnsi="Symbol" w:hint="default"/>
      </w:rPr>
    </w:lvl>
    <w:lvl w:ilvl="8" w:tplc="2AB85428"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A560573"/>
    <w:multiLevelType w:val="hybridMultilevel"/>
    <w:tmpl w:val="686C7B10"/>
    <w:lvl w:ilvl="0" w:tplc="A7ACF248">
      <w:start w:val="1"/>
      <w:numFmt w:val="bullet"/>
      <w:lvlText w:val=""/>
      <w:lvlPicBulletId w:val="0"/>
      <w:lvlJc w:val="left"/>
      <w:pPr>
        <w:tabs>
          <w:tab w:val="num" w:pos="720"/>
        </w:tabs>
        <w:ind w:left="720" w:hanging="360"/>
      </w:pPr>
      <w:rPr>
        <w:rFonts w:ascii="Symbol" w:hAnsi="Symbol" w:hint="default"/>
      </w:rPr>
    </w:lvl>
    <w:lvl w:ilvl="1" w:tplc="6BEA5298">
      <w:start w:val="33"/>
      <w:numFmt w:val="bullet"/>
      <w:lvlText w:val="−"/>
      <w:lvlJc w:val="left"/>
      <w:pPr>
        <w:tabs>
          <w:tab w:val="num" w:pos="1440"/>
        </w:tabs>
        <w:ind w:left="1440" w:hanging="360"/>
      </w:pPr>
      <w:rPr>
        <w:rFonts w:ascii="Calibre Regular" w:hAnsi="Calibre Regular" w:hint="default"/>
      </w:rPr>
    </w:lvl>
    <w:lvl w:ilvl="2" w:tplc="26C481DE">
      <w:start w:val="33"/>
      <w:numFmt w:val="bullet"/>
      <w:lvlText w:val="−"/>
      <w:lvlJc w:val="left"/>
      <w:pPr>
        <w:tabs>
          <w:tab w:val="num" w:pos="2160"/>
        </w:tabs>
        <w:ind w:left="2160" w:hanging="360"/>
      </w:pPr>
      <w:rPr>
        <w:rFonts w:ascii="Calibre Regular" w:hAnsi="Calibre Regular" w:hint="default"/>
      </w:rPr>
    </w:lvl>
    <w:lvl w:ilvl="3" w:tplc="9650E018" w:tentative="1">
      <w:start w:val="1"/>
      <w:numFmt w:val="bullet"/>
      <w:lvlText w:val=""/>
      <w:lvlPicBulletId w:val="0"/>
      <w:lvlJc w:val="left"/>
      <w:pPr>
        <w:tabs>
          <w:tab w:val="num" w:pos="2880"/>
        </w:tabs>
        <w:ind w:left="2880" w:hanging="360"/>
      </w:pPr>
      <w:rPr>
        <w:rFonts w:ascii="Symbol" w:hAnsi="Symbol" w:hint="default"/>
      </w:rPr>
    </w:lvl>
    <w:lvl w:ilvl="4" w:tplc="74C07EA8" w:tentative="1">
      <w:start w:val="1"/>
      <w:numFmt w:val="bullet"/>
      <w:lvlText w:val=""/>
      <w:lvlPicBulletId w:val="0"/>
      <w:lvlJc w:val="left"/>
      <w:pPr>
        <w:tabs>
          <w:tab w:val="num" w:pos="3600"/>
        </w:tabs>
        <w:ind w:left="3600" w:hanging="360"/>
      </w:pPr>
      <w:rPr>
        <w:rFonts w:ascii="Symbol" w:hAnsi="Symbol" w:hint="default"/>
      </w:rPr>
    </w:lvl>
    <w:lvl w:ilvl="5" w:tplc="73A042B4" w:tentative="1">
      <w:start w:val="1"/>
      <w:numFmt w:val="bullet"/>
      <w:lvlText w:val=""/>
      <w:lvlPicBulletId w:val="0"/>
      <w:lvlJc w:val="left"/>
      <w:pPr>
        <w:tabs>
          <w:tab w:val="num" w:pos="4320"/>
        </w:tabs>
        <w:ind w:left="4320" w:hanging="360"/>
      </w:pPr>
      <w:rPr>
        <w:rFonts w:ascii="Symbol" w:hAnsi="Symbol" w:hint="default"/>
      </w:rPr>
    </w:lvl>
    <w:lvl w:ilvl="6" w:tplc="83980706" w:tentative="1">
      <w:start w:val="1"/>
      <w:numFmt w:val="bullet"/>
      <w:lvlText w:val=""/>
      <w:lvlPicBulletId w:val="0"/>
      <w:lvlJc w:val="left"/>
      <w:pPr>
        <w:tabs>
          <w:tab w:val="num" w:pos="5040"/>
        </w:tabs>
        <w:ind w:left="5040" w:hanging="360"/>
      </w:pPr>
      <w:rPr>
        <w:rFonts w:ascii="Symbol" w:hAnsi="Symbol" w:hint="default"/>
      </w:rPr>
    </w:lvl>
    <w:lvl w:ilvl="7" w:tplc="CDE8CDF4" w:tentative="1">
      <w:start w:val="1"/>
      <w:numFmt w:val="bullet"/>
      <w:lvlText w:val=""/>
      <w:lvlPicBulletId w:val="0"/>
      <w:lvlJc w:val="left"/>
      <w:pPr>
        <w:tabs>
          <w:tab w:val="num" w:pos="5760"/>
        </w:tabs>
        <w:ind w:left="5760" w:hanging="360"/>
      </w:pPr>
      <w:rPr>
        <w:rFonts w:ascii="Symbol" w:hAnsi="Symbol" w:hint="default"/>
      </w:rPr>
    </w:lvl>
    <w:lvl w:ilvl="8" w:tplc="A992CA44"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4F6477C2"/>
    <w:multiLevelType w:val="hybridMultilevel"/>
    <w:tmpl w:val="5942BE92"/>
    <w:lvl w:ilvl="0" w:tplc="82989D36">
      <w:start w:val="1"/>
      <w:numFmt w:val="bullet"/>
      <w:lvlText w:val=""/>
      <w:lvlPicBulletId w:val="0"/>
      <w:lvlJc w:val="left"/>
      <w:pPr>
        <w:tabs>
          <w:tab w:val="num" w:pos="720"/>
        </w:tabs>
        <w:ind w:left="720" w:hanging="360"/>
      </w:pPr>
      <w:rPr>
        <w:rFonts w:ascii="Symbol" w:hAnsi="Symbol" w:hint="default"/>
      </w:rPr>
    </w:lvl>
    <w:lvl w:ilvl="1" w:tplc="B0843402" w:tentative="1">
      <w:start w:val="1"/>
      <w:numFmt w:val="bullet"/>
      <w:lvlText w:val=""/>
      <w:lvlPicBulletId w:val="0"/>
      <w:lvlJc w:val="left"/>
      <w:pPr>
        <w:tabs>
          <w:tab w:val="num" w:pos="1440"/>
        </w:tabs>
        <w:ind w:left="1440" w:hanging="360"/>
      </w:pPr>
      <w:rPr>
        <w:rFonts w:ascii="Symbol" w:hAnsi="Symbol" w:hint="default"/>
      </w:rPr>
    </w:lvl>
    <w:lvl w:ilvl="2" w:tplc="A60A5A54">
      <w:start w:val="33"/>
      <w:numFmt w:val="bullet"/>
      <w:lvlText w:val="−"/>
      <w:lvlJc w:val="left"/>
      <w:pPr>
        <w:tabs>
          <w:tab w:val="num" w:pos="2160"/>
        </w:tabs>
        <w:ind w:left="2160" w:hanging="360"/>
      </w:pPr>
      <w:rPr>
        <w:rFonts w:ascii="Calibre Regular" w:hAnsi="Calibre Regular" w:hint="default"/>
      </w:rPr>
    </w:lvl>
    <w:lvl w:ilvl="3" w:tplc="B90CB374">
      <w:start w:val="33"/>
      <w:numFmt w:val="bullet"/>
      <w:lvlText w:val="−"/>
      <w:lvlJc w:val="left"/>
      <w:pPr>
        <w:tabs>
          <w:tab w:val="num" w:pos="2880"/>
        </w:tabs>
        <w:ind w:left="2880" w:hanging="360"/>
      </w:pPr>
      <w:rPr>
        <w:rFonts w:ascii="Calibre Regular" w:hAnsi="Calibre Regular" w:hint="default"/>
      </w:rPr>
    </w:lvl>
    <w:lvl w:ilvl="4" w:tplc="EA626658">
      <w:start w:val="33"/>
      <w:numFmt w:val="bullet"/>
      <w:lvlText w:val="−"/>
      <w:lvlJc w:val="left"/>
      <w:pPr>
        <w:tabs>
          <w:tab w:val="num" w:pos="3600"/>
        </w:tabs>
        <w:ind w:left="3600" w:hanging="360"/>
      </w:pPr>
      <w:rPr>
        <w:rFonts w:ascii="Qualcomm Regular" w:hAnsi="Qualcomm Regular" w:hint="default"/>
      </w:rPr>
    </w:lvl>
    <w:lvl w:ilvl="5" w:tplc="AED4B040" w:tentative="1">
      <w:start w:val="1"/>
      <w:numFmt w:val="bullet"/>
      <w:lvlText w:val=""/>
      <w:lvlPicBulletId w:val="0"/>
      <w:lvlJc w:val="left"/>
      <w:pPr>
        <w:tabs>
          <w:tab w:val="num" w:pos="4320"/>
        </w:tabs>
        <w:ind w:left="4320" w:hanging="360"/>
      </w:pPr>
      <w:rPr>
        <w:rFonts w:ascii="Symbol" w:hAnsi="Symbol" w:hint="default"/>
      </w:rPr>
    </w:lvl>
    <w:lvl w:ilvl="6" w:tplc="FA1ED3A4" w:tentative="1">
      <w:start w:val="1"/>
      <w:numFmt w:val="bullet"/>
      <w:lvlText w:val=""/>
      <w:lvlPicBulletId w:val="0"/>
      <w:lvlJc w:val="left"/>
      <w:pPr>
        <w:tabs>
          <w:tab w:val="num" w:pos="5040"/>
        </w:tabs>
        <w:ind w:left="5040" w:hanging="360"/>
      </w:pPr>
      <w:rPr>
        <w:rFonts w:ascii="Symbol" w:hAnsi="Symbol" w:hint="default"/>
      </w:rPr>
    </w:lvl>
    <w:lvl w:ilvl="7" w:tplc="C4D82EAE" w:tentative="1">
      <w:start w:val="1"/>
      <w:numFmt w:val="bullet"/>
      <w:lvlText w:val=""/>
      <w:lvlPicBulletId w:val="0"/>
      <w:lvlJc w:val="left"/>
      <w:pPr>
        <w:tabs>
          <w:tab w:val="num" w:pos="5760"/>
        </w:tabs>
        <w:ind w:left="5760" w:hanging="360"/>
      </w:pPr>
      <w:rPr>
        <w:rFonts w:ascii="Symbol" w:hAnsi="Symbol" w:hint="default"/>
      </w:rPr>
    </w:lvl>
    <w:lvl w:ilvl="8" w:tplc="3294CD36"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51EB6320"/>
    <w:multiLevelType w:val="hybridMultilevel"/>
    <w:tmpl w:val="18EA2838"/>
    <w:lvl w:ilvl="0" w:tplc="68E0ECC4">
      <w:start w:val="1"/>
      <w:numFmt w:val="bullet"/>
      <w:lvlText w:val=""/>
      <w:lvlPicBulletId w:val="0"/>
      <w:lvlJc w:val="left"/>
      <w:pPr>
        <w:tabs>
          <w:tab w:val="num" w:pos="720"/>
        </w:tabs>
        <w:ind w:left="720" w:hanging="360"/>
      </w:pPr>
      <w:rPr>
        <w:rFonts w:ascii="Symbol" w:hAnsi="Symbol" w:hint="default"/>
      </w:rPr>
    </w:lvl>
    <w:lvl w:ilvl="1" w:tplc="AAC86CA4">
      <w:start w:val="33"/>
      <w:numFmt w:val="bullet"/>
      <w:lvlText w:val="−"/>
      <w:lvlJc w:val="left"/>
      <w:pPr>
        <w:tabs>
          <w:tab w:val="num" w:pos="1440"/>
        </w:tabs>
        <w:ind w:left="1440" w:hanging="360"/>
      </w:pPr>
      <w:rPr>
        <w:rFonts w:ascii="Calibre Regular" w:hAnsi="Calibre Regular" w:hint="default"/>
      </w:rPr>
    </w:lvl>
    <w:lvl w:ilvl="2" w:tplc="65B8CDEA">
      <w:start w:val="33"/>
      <w:numFmt w:val="bullet"/>
      <w:lvlText w:val="−"/>
      <w:lvlJc w:val="left"/>
      <w:pPr>
        <w:tabs>
          <w:tab w:val="num" w:pos="2160"/>
        </w:tabs>
        <w:ind w:left="2160" w:hanging="360"/>
      </w:pPr>
      <w:rPr>
        <w:rFonts w:ascii="Calibre Regular" w:hAnsi="Calibre Regular" w:hint="default"/>
      </w:rPr>
    </w:lvl>
    <w:lvl w:ilvl="3" w:tplc="2E76CB82" w:tentative="1">
      <w:start w:val="1"/>
      <w:numFmt w:val="bullet"/>
      <w:lvlText w:val=""/>
      <w:lvlPicBulletId w:val="0"/>
      <w:lvlJc w:val="left"/>
      <w:pPr>
        <w:tabs>
          <w:tab w:val="num" w:pos="2880"/>
        </w:tabs>
        <w:ind w:left="2880" w:hanging="360"/>
      </w:pPr>
      <w:rPr>
        <w:rFonts w:ascii="Symbol" w:hAnsi="Symbol" w:hint="default"/>
      </w:rPr>
    </w:lvl>
    <w:lvl w:ilvl="4" w:tplc="BA200DFE" w:tentative="1">
      <w:start w:val="1"/>
      <w:numFmt w:val="bullet"/>
      <w:lvlText w:val=""/>
      <w:lvlPicBulletId w:val="0"/>
      <w:lvlJc w:val="left"/>
      <w:pPr>
        <w:tabs>
          <w:tab w:val="num" w:pos="3600"/>
        </w:tabs>
        <w:ind w:left="3600" w:hanging="360"/>
      </w:pPr>
      <w:rPr>
        <w:rFonts w:ascii="Symbol" w:hAnsi="Symbol" w:hint="default"/>
      </w:rPr>
    </w:lvl>
    <w:lvl w:ilvl="5" w:tplc="4AFC2EE6" w:tentative="1">
      <w:start w:val="1"/>
      <w:numFmt w:val="bullet"/>
      <w:lvlText w:val=""/>
      <w:lvlPicBulletId w:val="0"/>
      <w:lvlJc w:val="left"/>
      <w:pPr>
        <w:tabs>
          <w:tab w:val="num" w:pos="4320"/>
        </w:tabs>
        <w:ind w:left="4320" w:hanging="360"/>
      </w:pPr>
      <w:rPr>
        <w:rFonts w:ascii="Symbol" w:hAnsi="Symbol" w:hint="default"/>
      </w:rPr>
    </w:lvl>
    <w:lvl w:ilvl="6" w:tplc="BE5C5B28" w:tentative="1">
      <w:start w:val="1"/>
      <w:numFmt w:val="bullet"/>
      <w:lvlText w:val=""/>
      <w:lvlPicBulletId w:val="0"/>
      <w:lvlJc w:val="left"/>
      <w:pPr>
        <w:tabs>
          <w:tab w:val="num" w:pos="5040"/>
        </w:tabs>
        <w:ind w:left="5040" w:hanging="360"/>
      </w:pPr>
      <w:rPr>
        <w:rFonts w:ascii="Symbol" w:hAnsi="Symbol" w:hint="default"/>
      </w:rPr>
    </w:lvl>
    <w:lvl w:ilvl="7" w:tplc="A3F8FBC4" w:tentative="1">
      <w:start w:val="1"/>
      <w:numFmt w:val="bullet"/>
      <w:lvlText w:val=""/>
      <w:lvlPicBulletId w:val="0"/>
      <w:lvlJc w:val="left"/>
      <w:pPr>
        <w:tabs>
          <w:tab w:val="num" w:pos="5760"/>
        </w:tabs>
        <w:ind w:left="5760" w:hanging="360"/>
      </w:pPr>
      <w:rPr>
        <w:rFonts w:ascii="Symbol" w:hAnsi="Symbol" w:hint="default"/>
      </w:rPr>
    </w:lvl>
    <w:lvl w:ilvl="8" w:tplc="2272F2CA"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6D8B3E68"/>
    <w:multiLevelType w:val="hybridMultilevel"/>
    <w:tmpl w:val="47A026A2"/>
    <w:lvl w:ilvl="0" w:tplc="0409000D">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7800227A">
      <w:start w:val="1"/>
      <w:numFmt w:val="bullet"/>
      <w:lvlText w:val=""/>
      <w:lvlJc w:val="left"/>
      <w:pPr>
        <w:ind w:left="2160" w:hanging="180"/>
      </w:pPr>
      <w:rPr>
        <w:rFonts w:ascii="Symbol" w:hAnsi="Symbol"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8"/>
  </w:num>
  <w:num w:numId="5">
    <w:abstractNumId w:val="4"/>
  </w:num>
  <w:num w:numId="6">
    <w:abstractNumId w:val="6"/>
  </w:num>
  <w:num w:numId="7">
    <w:abstractNumId w:val="3"/>
  </w:num>
  <w:num w:numId="8">
    <w:abstractNumId w:val="12"/>
  </w:num>
  <w:num w:numId="9">
    <w:abstractNumId w:val="2"/>
  </w:num>
  <w:num w:numId="10">
    <w:abstractNumId w:val="10"/>
  </w:num>
  <w:num w:numId="11">
    <w:abstractNumId w:val="9"/>
  </w:num>
  <w:num w:numId="12">
    <w:abstractNumId w:val="7"/>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2D2A"/>
    <w:rsid w:val="00003131"/>
    <w:rsid w:val="00003227"/>
    <w:rsid w:val="000037FB"/>
    <w:rsid w:val="000039B1"/>
    <w:rsid w:val="00003EF4"/>
    <w:rsid w:val="0000403F"/>
    <w:rsid w:val="00004885"/>
    <w:rsid w:val="00004D8C"/>
    <w:rsid w:val="00004DCB"/>
    <w:rsid w:val="000051F0"/>
    <w:rsid w:val="0000545A"/>
    <w:rsid w:val="0000553B"/>
    <w:rsid w:val="000063BC"/>
    <w:rsid w:val="00006780"/>
    <w:rsid w:val="00006C7A"/>
    <w:rsid w:val="000070F5"/>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B96"/>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3F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5D2B"/>
    <w:rsid w:val="00076408"/>
    <w:rsid w:val="0007661E"/>
    <w:rsid w:val="00077073"/>
    <w:rsid w:val="0007796D"/>
    <w:rsid w:val="0008022A"/>
    <w:rsid w:val="00080418"/>
    <w:rsid w:val="000805B2"/>
    <w:rsid w:val="00080D74"/>
    <w:rsid w:val="00081383"/>
    <w:rsid w:val="000822AD"/>
    <w:rsid w:val="000822C0"/>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9B4"/>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5B9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4DB3"/>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9BB"/>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36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2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16B0"/>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428"/>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2EC"/>
    <w:rsid w:val="002373FC"/>
    <w:rsid w:val="00237C6F"/>
    <w:rsid w:val="00237D22"/>
    <w:rsid w:val="0024029F"/>
    <w:rsid w:val="00240487"/>
    <w:rsid w:val="002407E1"/>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5AC6"/>
    <w:rsid w:val="00256B22"/>
    <w:rsid w:val="00256B25"/>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5E"/>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088"/>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6B"/>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3BD"/>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6D1"/>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62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6FD7"/>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5F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AB0"/>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3DB"/>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1FB"/>
    <w:rsid w:val="00491294"/>
    <w:rsid w:val="0049143D"/>
    <w:rsid w:val="004915A9"/>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656"/>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4C2"/>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001"/>
    <w:rsid w:val="005C1225"/>
    <w:rsid w:val="005C132F"/>
    <w:rsid w:val="005C1752"/>
    <w:rsid w:val="005C1BF2"/>
    <w:rsid w:val="005C2144"/>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3C1C"/>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B89"/>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99"/>
    <w:rsid w:val="006C22BD"/>
    <w:rsid w:val="006C2604"/>
    <w:rsid w:val="006C3309"/>
    <w:rsid w:val="006C375B"/>
    <w:rsid w:val="006C3FF3"/>
    <w:rsid w:val="006C40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6B0"/>
    <w:rsid w:val="006D59BF"/>
    <w:rsid w:val="006D5A62"/>
    <w:rsid w:val="006D5EC2"/>
    <w:rsid w:val="006D5FEF"/>
    <w:rsid w:val="006D667A"/>
    <w:rsid w:val="006D6C22"/>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0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620"/>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9D"/>
    <w:rsid w:val="00784FC7"/>
    <w:rsid w:val="007859E1"/>
    <w:rsid w:val="007861D1"/>
    <w:rsid w:val="00786272"/>
    <w:rsid w:val="007864B2"/>
    <w:rsid w:val="007864F6"/>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6DB"/>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6A6"/>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31"/>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5D"/>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7A8"/>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6B"/>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2C1B"/>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AB1"/>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714"/>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471"/>
    <w:rsid w:val="008D2CFC"/>
    <w:rsid w:val="008D2DE5"/>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069"/>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570"/>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C6B"/>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02E"/>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CBA"/>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23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59"/>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651A"/>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16EF"/>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478"/>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6B2"/>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3FE"/>
    <w:rsid w:val="00A764B9"/>
    <w:rsid w:val="00A76696"/>
    <w:rsid w:val="00A76A52"/>
    <w:rsid w:val="00A76BF2"/>
    <w:rsid w:val="00A7707F"/>
    <w:rsid w:val="00A770A5"/>
    <w:rsid w:val="00A7735F"/>
    <w:rsid w:val="00A77715"/>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F8"/>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A8F"/>
    <w:rsid w:val="00B01CC2"/>
    <w:rsid w:val="00B01F0D"/>
    <w:rsid w:val="00B02014"/>
    <w:rsid w:val="00B0226D"/>
    <w:rsid w:val="00B023FC"/>
    <w:rsid w:val="00B02A4C"/>
    <w:rsid w:val="00B02AD0"/>
    <w:rsid w:val="00B030F4"/>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B14"/>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800"/>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5FD"/>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70F"/>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6E4"/>
    <w:rsid w:val="00C225CC"/>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1BCF"/>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586"/>
    <w:rsid w:val="00CA49C0"/>
    <w:rsid w:val="00CA4A24"/>
    <w:rsid w:val="00CA4A3F"/>
    <w:rsid w:val="00CA4C14"/>
    <w:rsid w:val="00CA4F58"/>
    <w:rsid w:val="00CA51A0"/>
    <w:rsid w:val="00CA5DA3"/>
    <w:rsid w:val="00CA6164"/>
    <w:rsid w:val="00CA673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4B7"/>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9A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97"/>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EF8"/>
    <w:rsid w:val="00D86095"/>
    <w:rsid w:val="00D86ACF"/>
    <w:rsid w:val="00D86B37"/>
    <w:rsid w:val="00D86B89"/>
    <w:rsid w:val="00D86EF6"/>
    <w:rsid w:val="00D87154"/>
    <w:rsid w:val="00D8778A"/>
    <w:rsid w:val="00D87F1C"/>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1F1"/>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2F5"/>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3EF"/>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6D"/>
    <w:rsid w:val="00DF5270"/>
    <w:rsid w:val="00DF5588"/>
    <w:rsid w:val="00DF5B4C"/>
    <w:rsid w:val="00DF5C89"/>
    <w:rsid w:val="00DF6014"/>
    <w:rsid w:val="00DF6281"/>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099"/>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5C6"/>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4EFD"/>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65F"/>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0F7"/>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74D"/>
    <w:rsid w:val="00F06F02"/>
    <w:rsid w:val="00F10437"/>
    <w:rsid w:val="00F10465"/>
    <w:rsid w:val="00F10864"/>
    <w:rsid w:val="00F11196"/>
    <w:rsid w:val="00F1165E"/>
    <w:rsid w:val="00F11CF5"/>
    <w:rsid w:val="00F12B3D"/>
    <w:rsid w:val="00F13242"/>
    <w:rsid w:val="00F1403E"/>
    <w:rsid w:val="00F140FE"/>
    <w:rsid w:val="00F1415B"/>
    <w:rsid w:val="00F1418D"/>
    <w:rsid w:val="00F14FB4"/>
    <w:rsid w:val="00F15478"/>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0EE"/>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1DE"/>
    <w:rsid w:val="00F3521B"/>
    <w:rsid w:val="00F35561"/>
    <w:rsid w:val="00F35865"/>
    <w:rsid w:val="00F35E92"/>
    <w:rsid w:val="00F360BA"/>
    <w:rsid w:val="00F366CE"/>
    <w:rsid w:val="00F369FF"/>
    <w:rsid w:val="00F377A2"/>
    <w:rsid w:val="00F37922"/>
    <w:rsid w:val="00F37AEF"/>
    <w:rsid w:val="00F37DC6"/>
    <w:rsid w:val="00F37E70"/>
    <w:rsid w:val="00F4157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410"/>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15E"/>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07"/>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963"/>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5951655">
      <w:bodyDiv w:val="1"/>
      <w:marLeft w:val="0"/>
      <w:marRight w:val="0"/>
      <w:marTop w:val="0"/>
      <w:marBottom w:val="0"/>
      <w:divBdr>
        <w:top w:val="none" w:sz="0" w:space="0" w:color="auto"/>
        <w:left w:val="none" w:sz="0" w:space="0" w:color="auto"/>
        <w:bottom w:val="none" w:sz="0" w:space="0" w:color="auto"/>
        <w:right w:val="none" w:sz="0" w:space="0" w:color="auto"/>
      </w:divBdr>
      <w:divsChild>
        <w:div w:id="795370718">
          <w:marLeft w:val="547"/>
          <w:marRight w:val="0"/>
          <w:marTop w:val="106"/>
          <w:marBottom w:val="0"/>
          <w:divBdr>
            <w:top w:val="none" w:sz="0" w:space="0" w:color="auto"/>
            <w:left w:val="none" w:sz="0" w:space="0" w:color="auto"/>
            <w:bottom w:val="none" w:sz="0" w:space="0" w:color="auto"/>
            <w:right w:val="none" w:sz="0" w:space="0" w:color="auto"/>
          </w:divBdr>
        </w:div>
        <w:div w:id="1236552026">
          <w:marLeft w:val="1166"/>
          <w:marRight w:val="0"/>
          <w:marTop w:val="91"/>
          <w:marBottom w:val="0"/>
          <w:divBdr>
            <w:top w:val="none" w:sz="0" w:space="0" w:color="auto"/>
            <w:left w:val="none" w:sz="0" w:space="0" w:color="auto"/>
            <w:bottom w:val="none" w:sz="0" w:space="0" w:color="auto"/>
            <w:right w:val="none" w:sz="0" w:space="0" w:color="auto"/>
          </w:divBdr>
        </w:div>
        <w:div w:id="870727342">
          <w:marLeft w:val="1627"/>
          <w:marRight w:val="0"/>
          <w:marTop w:val="82"/>
          <w:marBottom w:val="0"/>
          <w:divBdr>
            <w:top w:val="none" w:sz="0" w:space="0" w:color="auto"/>
            <w:left w:val="none" w:sz="0" w:space="0" w:color="auto"/>
            <w:bottom w:val="none" w:sz="0" w:space="0" w:color="auto"/>
            <w:right w:val="none" w:sz="0" w:space="0" w:color="auto"/>
          </w:divBdr>
        </w:div>
        <w:div w:id="1849907349">
          <w:marLeft w:val="1166"/>
          <w:marRight w:val="0"/>
          <w:marTop w:val="91"/>
          <w:marBottom w:val="0"/>
          <w:divBdr>
            <w:top w:val="none" w:sz="0" w:space="0" w:color="auto"/>
            <w:left w:val="none" w:sz="0" w:space="0" w:color="auto"/>
            <w:bottom w:val="none" w:sz="0" w:space="0" w:color="auto"/>
            <w:right w:val="none" w:sz="0" w:space="0" w:color="auto"/>
          </w:divBdr>
        </w:div>
        <w:div w:id="486436806">
          <w:marLeft w:val="1627"/>
          <w:marRight w:val="0"/>
          <w:marTop w:val="82"/>
          <w:marBottom w:val="0"/>
          <w:divBdr>
            <w:top w:val="none" w:sz="0" w:space="0" w:color="auto"/>
            <w:left w:val="none" w:sz="0" w:space="0" w:color="auto"/>
            <w:bottom w:val="none" w:sz="0" w:space="0" w:color="auto"/>
            <w:right w:val="none" w:sz="0" w:space="0" w:color="auto"/>
          </w:divBdr>
        </w:div>
        <w:div w:id="128862476">
          <w:marLeft w:val="547"/>
          <w:marRight w:val="0"/>
          <w:marTop w:val="106"/>
          <w:marBottom w:val="0"/>
          <w:divBdr>
            <w:top w:val="none" w:sz="0" w:space="0" w:color="auto"/>
            <w:left w:val="none" w:sz="0" w:space="0" w:color="auto"/>
            <w:bottom w:val="none" w:sz="0" w:space="0" w:color="auto"/>
            <w:right w:val="none" w:sz="0" w:space="0" w:color="auto"/>
          </w:divBdr>
        </w:div>
        <w:div w:id="703480775">
          <w:marLeft w:val="1166"/>
          <w:marRight w:val="0"/>
          <w:marTop w:val="91"/>
          <w:marBottom w:val="0"/>
          <w:divBdr>
            <w:top w:val="none" w:sz="0" w:space="0" w:color="auto"/>
            <w:left w:val="none" w:sz="0" w:space="0" w:color="auto"/>
            <w:bottom w:val="none" w:sz="0" w:space="0" w:color="auto"/>
            <w:right w:val="none" w:sz="0" w:space="0" w:color="auto"/>
          </w:divBdr>
        </w:div>
        <w:div w:id="1965769118">
          <w:marLeft w:val="1627"/>
          <w:marRight w:val="0"/>
          <w:marTop w:val="82"/>
          <w:marBottom w:val="0"/>
          <w:divBdr>
            <w:top w:val="none" w:sz="0" w:space="0" w:color="auto"/>
            <w:left w:val="none" w:sz="0" w:space="0" w:color="auto"/>
            <w:bottom w:val="none" w:sz="0" w:space="0" w:color="auto"/>
            <w:right w:val="none" w:sz="0" w:space="0" w:color="auto"/>
          </w:divBdr>
        </w:div>
        <w:div w:id="1835536227">
          <w:marLeft w:val="2074"/>
          <w:marRight w:val="0"/>
          <w:marTop w:val="72"/>
          <w:marBottom w:val="0"/>
          <w:divBdr>
            <w:top w:val="none" w:sz="0" w:space="0" w:color="auto"/>
            <w:left w:val="none" w:sz="0" w:space="0" w:color="auto"/>
            <w:bottom w:val="none" w:sz="0" w:space="0" w:color="auto"/>
            <w:right w:val="none" w:sz="0" w:space="0" w:color="auto"/>
          </w:divBdr>
        </w:div>
        <w:div w:id="1587105516">
          <w:marLeft w:val="1166"/>
          <w:marRight w:val="0"/>
          <w:marTop w:val="91"/>
          <w:marBottom w:val="0"/>
          <w:divBdr>
            <w:top w:val="none" w:sz="0" w:space="0" w:color="auto"/>
            <w:left w:val="none" w:sz="0" w:space="0" w:color="auto"/>
            <w:bottom w:val="none" w:sz="0" w:space="0" w:color="auto"/>
            <w:right w:val="none" w:sz="0" w:space="0" w:color="auto"/>
          </w:divBdr>
        </w:div>
        <w:div w:id="839387028">
          <w:marLeft w:val="1627"/>
          <w:marRight w:val="0"/>
          <w:marTop w:val="82"/>
          <w:marBottom w:val="0"/>
          <w:divBdr>
            <w:top w:val="none" w:sz="0" w:space="0" w:color="auto"/>
            <w:left w:val="none" w:sz="0" w:space="0" w:color="auto"/>
            <w:bottom w:val="none" w:sz="0" w:space="0" w:color="auto"/>
            <w:right w:val="none" w:sz="0" w:space="0" w:color="auto"/>
          </w:divBdr>
        </w:div>
        <w:div w:id="2000422487">
          <w:marLeft w:val="2074"/>
          <w:marRight w:val="0"/>
          <w:marTop w:val="72"/>
          <w:marBottom w:val="0"/>
          <w:divBdr>
            <w:top w:val="none" w:sz="0" w:space="0" w:color="auto"/>
            <w:left w:val="none" w:sz="0" w:space="0" w:color="auto"/>
            <w:bottom w:val="none" w:sz="0" w:space="0" w:color="auto"/>
            <w:right w:val="none" w:sz="0" w:space="0" w:color="auto"/>
          </w:divBdr>
        </w:div>
        <w:div w:id="1152718380">
          <w:marLeft w:val="547"/>
          <w:marRight w:val="0"/>
          <w:marTop w:val="106"/>
          <w:marBottom w:val="0"/>
          <w:divBdr>
            <w:top w:val="none" w:sz="0" w:space="0" w:color="auto"/>
            <w:left w:val="none" w:sz="0" w:space="0" w:color="auto"/>
            <w:bottom w:val="none" w:sz="0" w:space="0" w:color="auto"/>
            <w:right w:val="none" w:sz="0" w:space="0" w:color="auto"/>
          </w:divBdr>
        </w:div>
        <w:div w:id="1757168931">
          <w:marLeft w:val="1166"/>
          <w:marRight w:val="0"/>
          <w:marTop w:val="91"/>
          <w:marBottom w:val="0"/>
          <w:divBdr>
            <w:top w:val="none" w:sz="0" w:space="0" w:color="auto"/>
            <w:left w:val="none" w:sz="0" w:space="0" w:color="auto"/>
            <w:bottom w:val="none" w:sz="0" w:space="0" w:color="auto"/>
            <w:right w:val="none" w:sz="0" w:space="0" w:color="auto"/>
          </w:divBdr>
        </w:div>
        <w:div w:id="1753312457">
          <w:marLeft w:val="1627"/>
          <w:marRight w:val="0"/>
          <w:marTop w:val="82"/>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175518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420634627">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132231">
          <w:marLeft w:val="1166"/>
          <w:marRight w:val="0"/>
          <w:marTop w:val="9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1173837065">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1020231415">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336428114">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475747">
      <w:bodyDiv w:val="1"/>
      <w:marLeft w:val="0"/>
      <w:marRight w:val="0"/>
      <w:marTop w:val="0"/>
      <w:marBottom w:val="0"/>
      <w:divBdr>
        <w:top w:val="none" w:sz="0" w:space="0" w:color="auto"/>
        <w:left w:val="none" w:sz="0" w:space="0" w:color="auto"/>
        <w:bottom w:val="none" w:sz="0" w:space="0" w:color="auto"/>
        <w:right w:val="none" w:sz="0" w:space="0" w:color="auto"/>
      </w:divBdr>
      <w:divsChild>
        <w:div w:id="457339612">
          <w:marLeft w:val="547"/>
          <w:marRight w:val="0"/>
          <w:marTop w:val="115"/>
          <w:marBottom w:val="0"/>
          <w:divBdr>
            <w:top w:val="none" w:sz="0" w:space="0" w:color="auto"/>
            <w:left w:val="none" w:sz="0" w:space="0" w:color="auto"/>
            <w:bottom w:val="none" w:sz="0" w:space="0" w:color="auto"/>
            <w:right w:val="none" w:sz="0" w:space="0" w:color="auto"/>
          </w:divBdr>
        </w:div>
        <w:div w:id="604775248">
          <w:marLeft w:val="1627"/>
          <w:marRight w:val="0"/>
          <w:marTop w:val="86"/>
          <w:marBottom w:val="0"/>
          <w:divBdr>
            <w:top w:val="none" w:sz="0" w:space="0" w:color="auto"/>
            <w:left w:val="none" w:sz="0" w:space="0" w:color="auto"/>
            <w:bottom w:val="none" w:sz="0" w:space="0" w:color="auto"/>
            <w:right w:val="none" w:sz="0" w:space="0" w:color="auto"/>
          </w:divBdr>
        </w:div>
        <w:div w:id="1644774438">
          <w:marLeft w:val="547"/>
          <w:marRight w:val="0"/>
          <w:marTop w:val="115"/>
          <w:marBottom w:val="0"/>
          <w:divBdr>
            <w:top w:val="none" w:sz="0" w:space="0" w:color="auto"/>
            <w:left w:val="none" w:sz="0" w:space="0" w:color="auto"/>
            <w:bottom w:val="none" w:sz="0" w:space="0" w:color="auto"/>
            <w:right w:val="none" w:sz="0" w:space="0" w:color="auto"/>
          </w:divBdr>
        </w:div>
        <w:div w:id="216403813">
          <w:marLeft w:val="1627"/>
          <w:marRight w:val="0"/>
          <w:marTop w:val="86"/>
          <w:marBottom w:val="0"/>
          <w:divBdr>
            <w:top w:val="none" w:sz="0" w:space="0" w:color="auto"/>
            <w:left w:val="none" w:sz="0" w:space="0" w:color="auto"/>
            <w:bottom w:val="none" w:sz="0" w:space="0" w:color="auto"/>
            <w:right w:val="none" w:sz="0" w:space="0" w:color="auto"/>
          </w:divBdr>
        </w:div>
        <w:div w:id="219748364">
          <w:marLeft w:val="1627"/>
          <w:marRight w:val="0"/>
          <w:marTop w:val="86"/>
          <w:marBottom w:val="0"/>
          <w:divBdr>
            <w:top w:val="none" w:sz="0" w:space="0" w:color="auto"/>
            <w:left w:val="none" w:sz="0" w:space="0" w:color="auto"/>
            <w:bottom w:val="none" w:sz="0" w:space="0" w:color="auto"/>
            <w:right w:val="none" w:sz="0" w:space="0" w:color="auto"/>
          </w:divBdr>
        </w:div>
        <w:div w:id="1035303862">
          <w:marLeft w:val="2074"/>
          <w:marRight w:val="0"/>
          <w:marTop w:val="77"/>
          <w:marBottom w:val="0"/>
          <w:divBdr>
            <w:top w:val="none" w:sz="0" w:space="0" w:color="auto"/>
            <w:left w:val="none" w:sz="0" w:space="0" w:color="auto"/>
            <w:bottom w:val="none" w:sz="0" w:space="0" w:color="auto"/>
            <w:right w:val="none" w:sz="0" w:space="0" w:color="auto"/>
          </w:divBdr>
        </w:div>
        <w:div w:id="544374354">
          <w:marLeft w:val="2520"/>
          <w:marRight w:val="0"/>
          <w:marTop w:val="67"/>
          <w:marBottom w:val="0"/>
          <w:divBdr>
            <w:top w:val="none" w:sz="0" w:space="0" w:color="auto"/>
            <w:left w:val="none" w:sz="0" w:space="0" w:color="auto"/>
            <w:bottom w:val="none" w:sz="0" w:space="0" w:color="auto"/>
            <w:right w:val="none" w:sz="0" w:space="0" w:color="auto"/>
          </w:divBdr>
        </w:div>
        <w:div w:id="1839421442">
          <w:marLeft w:val="2074"/>
          <w:marRight w:val="0"/>
          <w:marTop w:val="77"/>
          <w:marBottom w:val="0"/>
          <w:divBdr>
            <w:top w:val="none" w:sz="0" w:space="0" w:color="auto"/>
            <w:left w:val="none" w:sz="0" w:space="0" w:color="auto"/>
            <w:bottom w:val="none" w:sz="0" w:space="0" w:color="auto"/>
            <w:right w:val="none" w:sz="0" w:space="0" w:color="auto"/>
          </w:divBdr>
        </w:div>
        <w:div w:id="1154104611">
          <w:marLeft w:val="2520"/>
          <w:marRight w:val="0"/>
          <w:marTop w:val="67"/>
          <w:marBottom w:val="0"/>
          <w:divBdr>
            <w:top w:val="none" w:sz="0" w:space="0" w:color="auto"/>
            <w:left w:val="none" w:sz="0" w:space="0" w:color="auto"/>
            <w:bottom w:val="none" w:sz="0" w:space="0" w:color="auto"/>
            <w:right w:val="none" w:sz="0" w:space="0" w:color="auto"/>
          </w:divBdr>
        </w:div>
      </w:divsChild>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HR33RHYHUWRF-4-5005</_dlc_DocId>
    <_dlc_DocIdUrl xmlns="c06861ca-3f08-4d07-bff7-bb15bac121f4">
      <Url>https://projects.qualcomm.com/sites/pentari/_layouts/15/DocIdRedir.aspx?ID=HR33RHYHUWRF-4-5005</Url>
      <Description>HR33RHYHUWRF-4-5005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30CFBF75-77CB-46CF-A1FA-72AB46F79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869</Words>
  <Characters>4957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L1 Broadcast Control Channel</vt:lpstr>
    </vt:vector>
  </TitlesOfParts>
  <Company>Qualcomm Inc.</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L1 Broadcast Control Channel</dc:title>
  <dc:subject/>
  <dc:creator>Qualcomm Inc.</dc:creator>
  <cp:keywords/>
  <cp:lastModifiedBy>Heechoon Lee</cp:lastModifiedBy>
  <cp:revision>3</cp:revision>
  <cp:lastPrinted>2014-11-07T05:38:00Z</cp:lastPrinted>
  <dcterms:created xsi:type="dcterms:W3CDTF">2017-06-17T05:09:00Z</dcterms:created>
  <dcterms:modified xsi:type="dcterms:W3CDTF">2017-06-17T05:09:00Z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-435258076</vt:i4>
  </property>
  <property fmtid="{D5CDD505-2E9C-101B-9397-08002B2CF9AE}" pid="3" name="_NewReviewCycle">
    <vt:lpwstr/>
  </property>
  <property fmtid="{D5CDD505-2E9C-101B-9397-08002B2CF9AE}" pid="4" name="_EmailSubject">
    <vt:lpwstr>Control channel contributions for RAN1#87</vt:lpwstr>
  </property>
  <property fmtid="{D5CDD505-2E9C-101B-9397-08002B2CF9AE}" pid="5" name="_AuthorEmail">
    <vt:lpwstr>jingsun@qti.qualcomm.com</vt:lpwstr>
  </property>
  <property fmtid="{D5CDD505-2E9C-101B-9397-08002B2CF9AE}" pid="6" name="_AuthorEmailDisplayName">
    <vt:lpwstr>Sun, Jing</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728b8fef-3379-48a6-bb03-0193e2cd35b0</vt:lpwstr>
  </property>
  <property fmtid="{D5CDD505-2E9C-101B-9397-08002B2CF9AE}" pid="10" name="_ReviewingToolsShownOnce">
    <vt:lpwstr/>
  </property>
</Properties>
</file>